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385</w:t>
      </w:r>
      <w:r>
        <w:rPr>
          <w:rFonts w:ascii="Times New Roman" w:eastAsia="Times New Roman" w:hAnsi="Times New Roman" w:cs="Times New Roman"/>
          <w:sz w:val="25"/>
          <w:szCs w:val="25"/>
        </w:rPr>
        <w:t>96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>, ежедневно, однако 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>нваря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